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750.18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44.03.03 Специальное (дефектологическое) образование (высшее образование - бакалавриат), Направленность (профиль) программы «Олигофренопедагогика (образование детей с интеллектуальной недостаточностью)», утв. приказом ректора ОмГА от 25.03.2024 №34.</w:t>
            </w:r>
          </w:p>
        </w:tc>
      </w:tr>
      <w:tr>
        <w:trPr>
          <w:trHeight w:hRule="exact" w:val="138.914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60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04.143"/>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экономики и управления персоналом"</w:t>
            </w:r>
          </w:p>
        </w:tc>
      </w:tr>
      <w:tr>
        <w:trPr>
          <w:trHeight w:hRule="exact" w:val="10.28996"/>
        </w:trPr>
        <w:tc>
          <w:tcPr>
            <w:tcW w:w="6393.75" w:type="dxa"/>
            <w:gridSpan w:val="8"/>
            <w:tcBorders>
</w:tcBorders>
            <w:shd w:val="clear" w:color="#000000" w:fill="#FFFFFF"/>
            <w:vAlign w:val="top"/>
            <w:tcMar>
              <w:left w:w="34" w:type="dxa"/>
              <w:right w:w="34" w:type="dxa"/>
            </w:tcMar>
          </w:tcPr>
          <w:p/>
        </w:tc>
        <w:tc>
          <w:tcPr>
            <w:tcW w:w="3842.25" w:type="dxa"/>
            <w:gridSpan w:val="2"/>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267.540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vMerge/>
            <w:shd w:val="clear" w:color="#000000" w:fill="#FFFFFF"/>
            <w:vAlign w:val="top"/>
            <w:tcMar>
              <w:left w:w="34" w:type="dxa"/>
              <w:right w:w="34" w:type="dxa"/>
            </w:tcMar>
          </w:tcP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Экономические основы образования</w:t>
            </w:r>
          </w:p>
          <w:p>
            <w:pPr>
              <w:jc w:val="center"/>
              <w:spacing w:after="0" w:line="240" w:lineRule="auto"/>
              <w:rPr>
                <w:sz w:val="32"/>
                <w:szCs w:val="32"/>
              </w:rPr>
            </w:pPr>
            <w:r>
              <w:rPr>
                <w:rFonts w:ascii="Times New Roman" w:hAnsi="Times New Roman" w:cs="Times New Roman"/>
                <w:color w:val="#000000"/>
                <w:sz w:val="32"/>
                <w:szCs w:val="32"/>
              </w:rPr>
              <w:t> Б1.О.01.04</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44.03.03 Специальное (дефектологическое) образование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«Олигофренопедагогика (образование детей с интеллектуальной недостаточностью)»</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3"/>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27"/>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01.005</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В ОБЛАСТИ ВОСПИТАНИЯ</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методический, сопровождения</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056.08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/Герасимова Н.О./</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экономики и управления персоналом»</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д.полит.н. _________________ /Волох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44.03.03 Специальное (дефектологическое) образование, утвержденного Приказом Министерства образования и науки РФ от 22.02.2018 г. № 123 «Об утверждении федерального государственного образовательного стандарта высшего образования - бакалавриат по направлению подготовки 44.03.03 Специальное (дефектологическое)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44.03.03 Специальное (дефектологическое) образование направленность (профиль) программы: «Олигофренопедагогика (образование детей с интеллектуальной недостаточностью)»; форма обучения – заочная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«Экономические основы образования»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44.03.03 Специальное (дефектологическое) образование; заочная форма обучения в соответствии с требованиями законодательства Российской Федерации 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Б1.О.01.04 «Экономические основы образования».</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44.03.03 Специальное (дефектологическое) образование, утвержденного Приказом Министерства образования и науки РФ от 22.02.2018 г. № 123 «Об утверждении федерального государственного образовательного стандарта высшего образования - бакалавриат по направлению подготовки 44.03.03 Специальное (дефектологическое)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«Экономические основы образования»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ОПК-1</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профессиональную деятельность в соответствии с нормативными правовыми актами в сфере образования и нормами профессиональной этики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ОПК-1.1 знать приоритетные  направления  развития системы образования Российской Федерации, законы и иные нормативных  правовые  акты,  регламентирующие деятельность в  сфере  образования в Российской  Федерации</w:t>
            </w: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ОПК-1.2 знать нормативные документы по вопросам обучения и воспитания детей и молодежи с ограниченными возможностями здоровья, федеральные  государственные образовательные  стандарты (далее  ФГОС)  общего  образования  детей  с ограниченными возможностями  здоровья</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ОПК-1.4 уметь применять основные нормативно-правовые акты в сфере образования и нормы профессиональной этики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ОПК-1.5 владеть методами применения правовых, нравственных и  этических норм, требований профессиональной  этики  в  условиях реальных педагогических ситуаций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ОПК-1.6 владеть навыками  осуществления  профессиональной  деятельности  в соответствии  с  требованиями  ФГОС  образования обучающихся  с  умственной отсталостью  и  адаптированной основной  образовательной программы</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ОПК-1.7 владеть навыками анализа содержания, организации и функционирования системы общего образования обучающихся с ОВЗ</w:t>
            </w:r>
          </w:p>
        </w:tc>
      </w:tr>
      <w:tr>
        <w:trPr>
          <w:trHeight w:hRule="exact" w:val="277.8304"/>
        </w:trPr>
        <w:tc>
          <w:tcPr>
            <w:tcW w:w="9640" w:type="dxa"/>
          </w:tcP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УК-2</w:t>
            </w:r>
          </w:p>
          <w:p>
            <w:pPr>
              <w:jc w:val="left"/>
              <w:spacing w:after="0" w:line="240" w:lineRule="auto"/>
              <w:rPr>
                <w:sz w:val="24"/>
                <w:szCs w:val="24"/>
              </w:rPr>
            </w:pPr>
            <w:r>
              <w:rPr>
                <w:rFonts w:ascii="Times New Roman" w:hAnsi="Times New Roman" w:cs="Times New Roman"/>
                <w:b/>
                <w:color w:val="#000000"/>
                <w:sz w:val="24"/>
                <w:szCs w:val="24"/>
              </w:rPr>
              <w:t> 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УК-2.1 знать правила  формулировки задач для достижения поставленной цели</w:t>
            </w:r>
          </w:p>
        </w:tc>
      </w:tr>
      <w:tr>
        <w:trPr>
          <w:trHeight w:hRule="exact" w:val="314.579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УК-2.2 знать способы решения конкретных  задач для выполнения проекта</w:t>
            </w:r>
          </w:p>
        </w:tc>
      </w:tr>
      <w:tr>
        <w:trPr>
          <w:trHeight w:hRule="exact" w:val="439.824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УК-2.3 знать способы публичного представления результатов решения задач</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4678"/>
        <w:gridCol w:w="992"/>
      </w:tblGrid>
      <w:tr>
        <w:trPr>
          <w:trHeight w:hRule="exact" w:val="314.5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исследования</w:t>
            </w:r>
          </w:p>
        </w:tc>
      </w:tr>
      <w:tr>
        <w:trPr>
          <w:trHeight w:hRule="exact" w:val="585.0599"/>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УК-2.4 уметь формулировать  совокупность взаимосвязанных  задач  в  рамках поставленной  цели,  обеспечивающих  ее  достижение</w:t>
            </w:r>
          </w:p>
        </w:tc>
      </w:tr>
      <w:tr>
        <w:trPr>
          <w:trHeight w:hRule="exact" w:val="585.0601"/>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УК-2.5 уметь делать выбор способа решения задачи на основе действующих правовых норм</w:t>
            </w:r>
          </w:p>
        </w:tc>
      </w:tr>
      <w:tr>
        <w:trPr>
          <w:trHeight w:hRule="exact" w:val="585.0601"/>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УК-2.6 уметь качественно  решать  конкретные  задачи (исследования,  проекта, деятельности)  за установленное время</w:t>
            </w:r>
          </w:p>
        </w:tc>
      </w:tr>
      <w:tr>
        <w:trPr>
          <w:trHeight w:hRule="exact" w:val="585.0601"/>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УК-2.7 уметь публично  представлять результаты  решения задач исследования, проекта, деятельности</w:t>
            </w:r>
          </w:p>
        </w:tc>
      </w:tr>
      <w:tr>
        <w:trPr>
          <w:trHeight w:hRule="exact" w:val="585.0601"/>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УК-2.8 владеть навыками прогнозирования ожидаемых  результатов  решения поставленных задач</w:t>
            </w:r>
          </w:p>
        </w:tc>
      </w:tr>
      <w:tr>
        <w:trPr>
          <w:trHeight w:hRule="exact" w:val="585.0596"/>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УК-2.9 владеть навыками проектировки  решения  конкретной  задачи проекта на основе действующих правовых норм и имеющихся ресурсов и ограничений</w:t>
            </w:r>
          </w:p>
        </w:tc>
      </w:tr>
      <w:tr>
        <w:trPr>
          <w:trHeight w:hRule="exact" w:val="277.8304"/>
        </w:trPr>
        <w:tc>
          <w:tcPr>
            <w:tcW w:w="3970" w:type="dxa"/>
          </w:tcPr>
          <w:p/>
        </w:tc>
        <w:tc>
          <w:tcPr>
            <w:tcW w:w="4679" w:type="dxa"/>
          </w:tcPr>
          <w:p/>
        </w:tc>
        <w:tc>
          <w:tcPr>
            <w:tcW w:w="993" w:type="dxa"/>
          </w:tcPr>
          <w:p/>
        </w:tc>
      </w:tr>
      <w:tr>
        <w:trPr>
          <w:trHeight w:hRule="exact" w:val="855.5402"/>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УК-9</w:t>
            </w:r>
          </w:p>
          <w:p>
            <w:pPr>
              <w:jc w:val="left"/>
              <w:spacing w:after="0" w:line="240" w:lineRule="auto"/>
              <w:rPr>
                <w:sz w:val="24"/>
                <w:szCs w:val="24"/>
              </w:rPr>
            </w:pPr>
            <w:r>
              <w:rPr>
                <w:rFonts w:ascii="Times New Roman" w:hAnsi="Times New Roman" w:cs="Times New Roman"/>
                <w:b/>
                <w:color w:val="#000000"/>
                <w:sz w:val="24"/>
                <w:szCs w:val="24"/>
              </w:rPr>
              <w:t> Способен принимать обоснованные экономические решения в различных областях жизнедеятельности</w:t>
            </w:r>
          </w:p>
        </w:tc>
      </w:tr>
      <w:tr>
        <w:trPr>
          <w:trHeight w:hRule="exact" w:val="585.0598"/>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799"/>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УК-9.1 знать основные законы и закономерности функционирования экономики</w:t>
            </w:r>
          </w:p>
        </w:tc>
      </w:tr>
      <w:tr>
        <w:trPr>
          <w:trHeight w:hRule="exact" w:val="855.5402"/>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УК-9.2 знать основные документы, регламентирующие экономическую деятельность, источники финансирования профессиональной деятельности, принципы планирования экономической деятельности</w:t>
            </w:r>
          </w:p>
        </w:tc>
      </w:tr>
      <w:tr>
        <w:trPr>
          <w:trHeight w:hRule="exact" w:val="314.5799"/>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УК-9.3 уметь применять экономические знания при выполнении практических задач</w:t>
            </w:r>
          </w:p>
        </w:tc>
      </w:tr>
      <w:tr>
        <w:trPr>
          <w:trHeight w:hRule="exact" w:val="585.0602"/>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УК-9.4 уметь принимать обоснованные экономические решения в различных областях жизнедеятельности</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УК-9.5 владеть способностью использования основных положений и методов экономических наук при решении социальных и профессиональных задач</w:t>
            </w:r>
          </w:p>
        </w:tc>
      </w:tr>
      <w:tr>
        <w:trPr>
          <w:trHeight w:hRule="exact" w:val="314.5804"/>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УК-9.6 владеть навыками применения экономических инструментов</w:t>
            </w:r>
          </w:p>
        </w:tc>
      </w:tr>
      <w:tr>
        <w:trPr>
          <w:trHeight w:hRule="exact" w:val="416.7446"/>
        </w:trPr>
        <w:tc>
          <w:tcPr>
            <w:tcW w:w="3970" w:type="dxa"/>
          </w:tcPr>
          <w:p/>
        </w:tc>
        <w:tc>
          <w:tcPr>
            <w:tcW w:w="4679" w:type="dxa"/>
          </w:tcPr>
          <w:p/>
        </w:tc>
        <w:tc>
          <w:tcPr>
            <w:tcW w:w="993" w:type="dxa"/>
          </w:tcPr>
          <w:p/>
        </w:tc>
      </w:tr>
      <w:tr>
        <w:trPr>
          <w:trHeight w:hRule="exact" w:val="304.5836"/>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Б1.О.01.04 «Экономические основы образования» относится к обязательной части, является дисциплиной Блока Б1. «Дисциплины (модули)». Модуль "Мировоззренческий" основной профессиональной образовательной программы высшего образования - бакалавриат по направлению подготовки 44.03.03 Специальное (дефектологическое) образование.</w:t>
            </w:r>
          </w:p>
        </w:tc>
      </w:tr>
      <w:tr>
        <w:trPr>
          <w:trHeight w:hRule="exact" w:val="138.9152"/>
        </w:trPr>
        <w:tc>
          <w:tcPr>
            <w:tcW w:w="3970" w:type="dxa"/>
          </w:tcPr>
          <w:p/>
        </w:tc>
        <w:tc>
          <w:tcPr>
            <w:tcW w:w="4679" w:type="dxa"/>
          </w:tcPr>
          <w:p/>
        </w:tc>
        <w:tc>
          <w:tcPr>
            <w:tcW w:w="993" w:type="dxa"/>
          </w:tcPr>
          <w:p/>
        </w:tc>
      </w:tr>
      <w:tr>
        <w:trPr>
          <w:trHeight w:hRule="exact" w:val="277.8304"/>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04"/>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062.66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Безопасность жизнедеятельности</w:t>
            </w:r>
          </w:p>
          <w:p>
            <w:pPr>
              <w:jc w:val="center"/>
              <w:spacing w:after="0" w:line="240" w:lineRule="auto"/>
              <w:rPr>
                <w:sz w:val="22"/>
                <w:szCs w:val="22"/>
              </w:rPr>
            </w:pPr>
            <w:r>
              <w:rPr>
                <w:rFonts w:ascii="Times New Roman" w:hAnsi="Times New Roman" w:cs="Times New Roman"/>
                <w:color w:val="#000000"/>
                <w:sz w:val="22"/>
                <w:szCs w:val="22"/>
              </w:rPr>
              <w:t> Философия</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Основы математической обработки информации</w:t>
            </w:r>
          </w:p>
          <w:p>
            <w:pPr>
              <w:jc w:val="center"/>
              <w:spacing w:after="0" w:line="240" w:lineRule="auto"/>
              <w:rPr>
                <w:sz w:val="22"/>
                <w:szCs w:val="22"/>
              </w:rPr>
            </w:pPr>
            <w:r>
              <w:rPr>
                <w:rFonts w:ascii="Times New Roman" w:hAnsi="Times New Roman" w:cs="Times New Roman"/>
                <w:color w:val="#000000"/>
                <w:sz w:val="22"/>
                <w:szCs w:val="22"/>
              </w:rPr>
              <w:t> Выполнение и защита выпускной квалификационной работы</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УК-2, ОПК-1, УК-9</w:t>
            </w:r>
          </w:p>
        </w:tc>
      </w:tr>
      <w:tr>
        <w:trPr>
          <w:trHeight w:hRule="exact" w:val="138.9152"/>
        </w:trPr>
        <w:tc>
          <w:tcPr>
            <w:tcW w:w="3970" w:type="dxa"/>
          </w:tcPr>
          <w:p/>
        </w:tc>
        <w:tc>
          <w:tcPr>
            <w:tcW w:w="4679" w:type="dxa"/>
          </w:tcPr>
          <w:p/>
        </w:tc>
        <w:tc>
          <w:tcPr>
            <w:tcW w:w="993" w:type="dxa"/>
          </w:tcPr>
          <w:p/>
        </w:tc>
      </w:tr>
      <w:tr>
        <w:trPr>
          <w:trHeight w:hRule="exact" w:val="1125.872"/>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607"/>
        </w:trPr>
        <w:tc>
          <w:tcPr>
            <w:tcW w:w="9654" w:type="dxa"/>
            <w:gridSpan w:val="3"/>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2 зачетных единиц – 72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425"/>
        <w:gridCol w:w="709"/>
        <w:gridCol w:w="1134"/>
      </w:tblGrid>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60</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416.7449"/>
        </w:trPr>
        <w:tc>
          <w:tcPr>
            <w:tcW w:w="5671" w:type="dxa"/>
          </w:tcPr>
          <w:p/>
        </w:tc>
        <w:tc>
          <w:tcPr>
            <w:tcW w:w="1702" w:type="dxa"/>
          </w:tcPr>
          <w:p/>
        </w:tc>
        <w:tc>
          <w:tcPr>
            <w:tcW w:w="426" w:type="dxa"/>
          </w:tcPr>
          <w:p/>
        </w:tc>
        <w:tc>
          <w:tcPr>
            <w:tcW w:w="710" w:type="dxa"/>
          </w:tcPr>
          <w:p/>
        </w:tc>
        <w:tc>
          <w:tcPr>
            <w:tcW w:w="1135" w:type="dxa"/>
          </w:tcP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1</w:t>
            </w:r>
          </w:p>
        </w:tc>
      </w:tr>
      <w:tr>
        <w:trPr>
          <w:trHeight w:hRule="exact" w:val="277.8301"/>
        </w:trPr>
        <w:tc>
          <w:tcPr>
            <w:tcW w:w="5671" w:type="dxa"/>
          </w:tcPr>
          <w:p/>
        </w:tc>
        <w:tc>
          <w:tcPr>
            <w:tcW w:w="1702" w:type="dxa"/>
          </w:tcPr>
          <w:p/>
        </w:tc>
        <w:tc>
          <w:tcPr>
            <w:tcW w:w="426" w:type="dxa"/>
          </w:tcPr>
          <w:p/>
        </w:tc>
        <w:tc>
          <w:tcPr>
            <w:tcW w:w="710" w:type="dxa"/>
          </w:tcPr>
          <w:p/>
        </w:tc>
        <w:tc>
          <w:tcPr>
            <w:tcW w:w="1135" w:type="dxa"/>
          </w:tcPr>
          <w:p/>
        </w:tc>
      </w:tr>
      <w:tr>
        <w:trPr>
          <w:trHeight w:hRule="exact" w:val="1666.833"/>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1"/>
        </w:trPr>
        <w:tc>
          <w:tcPr>
            <w:tcW w:w="5671" w:type="dxa"/>
          </w:tcPr>
          <w:p/>
        </w:tc>
        <w:tc>
          <w:tcPr>
            <w:tcW w:w="1702" w:type="dxa"/>
          </w:tcPr>
          <w:p/>
        </w:tc>
        <w:tc>
          <w:tcPr>
            <w:tcW w:w="426" w:type="dxa"/>
          </w:tcPr>
          <w:p/>
        </w:tc>
        <w:tc>
          <w:tcPr>
            <w:tcW w:w="710"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Введение в экономику</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Предмет экономической теории, исторические этапы его эволюции.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Позитивная и нормативная экономика. Функции и значение экономической теории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Общая характеристика сферы образования России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Законодательные основы функционирования сферы образования РФ.</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Управление образованием</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Определение заработной платы работников образования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Основы построения системы управления образованием.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Финансирования образования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855.541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Схема бюджетного финансирования образования. Основные функции участников финансирования образования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39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Основные проблемы, направления и перспективы совершенствования бюджетного финансирования сферы образования в России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Эффективность образовани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Оценка эффективности образования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Эффективность образования как интегральный показатель</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31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2115.329"/>
        </w:trPr>
        <w:tc>
          <w:tcPr>
            <w:tcW w:w="9654" w:type="dxa"/>
            <w:gridSpan w:val="5"/>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4889.78"/>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02.0045"/>
        </w:trPr>
        <w:tc>
          <w:tcPr>
            <w:tcW w:w="9654" w:type="dxa"/>
            <w:tcBorders>
</w:tcBorders>
            <w:shd w:val="clear" w:color="#000000" w:fill="#FFFFFF"/>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314.5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
        </w:trPr>
        <w:tc>
          <w:tcPr>
            <w:tcW w:w="9654" w:type="dxa"/>
            <w:gridSpan w:val="2"/>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Предмет экономической теории, исторические этапы его эволюции.</w:t>
            </w:r>
          </w:p>
        </w:tc>
      </w:tr>
      <w:tr>
        <w:trPr>
          <w:trHeight w:hRule="exact" w:val="277.83"/>
        </w:trPr>
        <w:tc>
          <w:tcPr>
            <w:tcW w:w="9654" w:type="dxa"/>
            <w:gridSpan w:val="2"/>
            <w:tcBorders>
</w:tcBorders>
            <w:vMerge/>
            <w:shd w:val="clear" w:color="#000000" w:fill="#FFFFFF"/>
            <w:vAlign w:val="top"/>
            <w:tcMar>
              <w:left w:w="34" w:type="dxa"/>
              <w:right w:w="34" w:type="dxa"/>
            </w:tcMar>
          </w:tcPr>
          <w:p/>
        </w:tc>
      </w:tr>
      <w:tr>
        <w:trPr>
          <w:trHeight w:hRule="exact" w:val="826.1401"/>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Уровни познания экономических явлений. Особенности объектов исследования и подходов микро-, мезо-, макроэкономики. Субъекты и объекты экономических отношений. Методы экономических исследований.</w:t>
            </w:r>
          </w:p>
        </w:tc>
      </w:tr>
      <w:tr>
        <w:trPr>
          <w:trHeight w:hRule="exact" w:val="585.0601"/>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Схема бюджетного финансирования образования. Основные функции участников финансирования образования</w:t>
            </w:r>
          </w:p>
        </w:tc>
      </w:tr>
      <w:tr>
        <w:trPr>
          <w:trHeight w:hRule="exact" w:val="826.14"/>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Бюджетная смета, расчет потребности в бюджетных средствах. Понятие внебюджетной деятельности. Основные направления и виды внебюджетной деятельности образовательных учреждений</w:t>
            </w:r>
          </w:p>
        </w:tc>
      </w:tr>
      <w:tr>
        <w:trPr>
          <w:trHeight w:hRule="exact" w:val="277.8299"/>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285" w:type="dxa"/>
          </w:tcPr>
          <w:p/>
        </w:tc>
        <w:tc>
          <w:tcPr>
            <w:tcW w:w="9356" w:type="dxa"/>
          </w:tcPr>
          <w:p/>
        </w:tc>
      </w:tr>
      <w:tr>
        <w:trPr>
          <w:trHeight w:hRule="exact" w:val="304.58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Определение заработной платы работников образования</w:t>
            </w:r>
          </w:p>
        </w:tc>
      </w:tr>
      <w:tr>
        <w:trPr>
          <w:trHeight w:hRule="exact" w:val="1096.473"/>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Нормирование труда работников образования в различных типах образовательных учреждений. Заработная плата и должностные оклады работников образования и их роль в развитии образования. Размер средней ставки заработной платы и должностных окладов работников образования</w:t>
            </w:r>
          </w:p>
        </w:tc>
      </w:tr>
      <w:tr>
        <w:trPr>
          <w:trHeight w:hRule="exact" w:val="14.7"/>
        </w:trPr>
        <w:tc>
          <w:tcPr>
            <w:tcW w:w="285" w:type="dxa"/>
          </w:tcPr>
          <w:p/>
        </w:tc>
        <w:tc>
          <w:tcPr>
            <w:tcW w:w="9356" w:type="dxa"/>
          </w:tcPr>
          <w:p/>
        </w:tc>
      </w:tr>
      <w:tr>
        <w:trPr>
          <w:trHeight w:hRule="exact" w:val="304.58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Оценка эффективности образования</w:t>
            </w:r>
          </w:p>
        </w:tc>
      </w:tr>
      <w:tr>
        <w:trPr>
          <w:trHeight w:hRule="exact" w:val="555.6598"/>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Определения экономической эффективности образования. Налогообложение в сфере образования. Налоговые льготы для образовательных учреждений.</w:t>
            </w:r>
          </w:p>
        </w:tc>
      </w:tr>
      <w:tr>
        <w:trPr>
          <w:trHeight w:hRule="exact" w:val="855.5406"/>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3"/>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«Экономические основы образования» / Герасимова Н.О..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43"/>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39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Территориальная</w:t>
            </w:r>
            <w:r>
              <w:rPr/>
              <w:t xml:space="preserve"> </w:t>
            </w:r>
            <w:r>
              <w:rPr>
                <w:rFonts w:ascii="Times New Roman" w:hAnsi="Times New Roman" w:cs="Times New Roman"/>
                <w:color w:val="#000000"/>
                <w:sz w:val="24"/>
                <w:szCs w:val="24"/>
              </w:rPr>
              <w:t>система</w:t>
            </w:r>
            <w:r>
              <w:rPr/>
              <w:t xml:space="preserve"> </w:t>
            </w:r>
            <w:r>
              <w:rPr>
                <w:rFonts w:ascii="Times New Roman" w:hAnsi="Times New Roman" w:cs="Times New Roman"/>
                <w:color w:val="#000000"/>
                <w:sz w:val="24"/>
                <w:szCs w:val="24"/>
              </w:rPr>
              <w:t>образования:</w:t>
            </w:r>
            <w:r>
              <w:rPr/>
              <w:t xml:space="preserve"> </w:t>
            </w:r>
            <w:r>
              <w:rPr>
                <w:rFonts w:ascii="Times New Roman" w:hAnsi="Times New Roman" w:cs="Times New Roman"/>
                <w:color w:val="#000000"/>
                <w:sz w:val="24"/>
                <w:szCs w:val="24"/>
              </w:rPr>
              <w:t>административно-маркетинговое</w:t>
            </w:r>
            <w:r>
              <w:rPr/>
              <w:t xml:space="preserve"> </w:t>
            </w:r>
            <w:r>
              <w:rPr>
                <w:rFonts w:ascii="Times New Roman" w:hAnsi="Times New Roman" w:cs="Times New Roman"/>
                <w:color w:val="#000000"/>
                <w:sz w:val="24"/>
                <w:szCs w:val="24"/>
              </w:rPr>
              <w:t>управление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Захарова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Саратов:</w:t>
            </w:r>
            <w:r>
              <w:rPr/>
              <w:t xml:space="preserve"> </w:t>
            </w:r>
            <w:r>
              <w:rPr>
                <w:rFonts w:ascii="Times New Roman" w:hAnsi="Times New Roman" w:cs="Times New Roman"/>
                <w:color w:val="#000000"/>
                <w:sz w:val="24"/>
                <w:szCs w:val="24"/>
              </w:rPr>
              <w:t>Ай</w:t>
            </w:r>
            <w:r>
              <w:rPr/>
              <w:t xml:space="preserve"> </w:t>
            </w:r>
            <w:r>
              <w:rPr>
                <w:rFonts w:ascii="Times New Roman" w:hAnsi="Times New Roman" w:cs="Times New Roman"/>
                <w:color w:val="#000000"/>
                <w:sz w:val="24"/>
                <w:szCs w:val="24"/>
              </w:rPr>
              <w:t>Пи</w:t>
            </w:r>
            <w:r>
              <w:rPr/>
              <w:t xml:space="preserve"> </w:t>
            </w:r>
            <w:r>
              <w:rPr>
                <w:rFonts w:ascii="Times New Roman" w:hAnsi="Times New Roman" w:cs="Times New Roman"/>
                <w:color w:val="#000000"/>
                <w:sz w:val="24"/>
                <w:szCs w:val="24"/>
              </w:rPr>
              <w:t>Ар</w:t>
            </w:r>
            <w:r>
              <w:rPr/>
              <w:t xml:space="preserve"> </w:t>
            </w:r>
            <w:r>
              <w:rPr>
                <w:rFonts w:ascii="Times New Roman" w:hAnsi="Times New Roman" w:cs="Times New Roman"/>
                <w:color w:val="#000000"/>
                <w:sz w:val="24"/>
                <w:szCs w:val="24"/>
              </w:rPr>
              <w:t>Медиа,</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162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978-5-4497-0224-1.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http://www.iprbookshop.ru/86475.html</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Менеджмент</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образовании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Трапицын</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Агапова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Апевалова</w:t>
            </w:r>
            <w:r>
              <w:rPr/>
              <w:t xml:space="preserve"> </w:t>
            </w:r>
            <w:r>
              <w:rPr>
                <w:rFonts w:ascii="Times New Roman" w:hAnsi="Times New Roman" w:cs="Times New Roman"/>
                <w:color w:val="#000000"/>
                <w:sz w:val="24"/>
                <w:szCs w:val="24"/>
              </w:rPr>
              <w:t>З.</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Бавина</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Жарова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Кравцов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478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978-5-534-14107-8.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https://urait.ru/bcode/467791</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Экономика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Борисов</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7-е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383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978-5-9916-5036-6.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https://urait.ru/bcode/468350</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Экономика</w:t>
            </w:r>
            <w:r>
              <w:rPr/>
              <w:t xml:space="preserve"> </w:t>
            </w:r>
            <w:r>
              <w:rPr>
                <w:rFonts w:ascii="Times New Roman" w:hAnsi="Times New Roman" w:cs="Times New Roman"/>
                <w:color w:val="#000000"/>
                <w:sz w:val="24"/>
                <w:szCs w:val="24"/>
              </w:rPr>
              <w:t>организации</w:t>
            </w:r>
            <w:r>
              <w:rPr/>
              <w:t xml:space="preserve"> </w:t>
            </w:r>
            <w:r>
              <w:rPr>
                <w:rFonts w:ascii="Times New Roman" w:hAnsi="Times New Roman" w:cs="Times New Roman"/>
                <w:color w:val="#000000"/>
                <w:sz w:val="24"/>
                <w:szCs w:val="24"/>
              </w:rPr>
              <w:t>(предприятия)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Коршунов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5-е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p>
        </w:tc>
      </w:tr>
      <w:tr>
        <w:trPr>
          <w:trHeight w:hRule="exact" w:val="414.1005"/>
        </w:trPr>
        <w:tc>
          <w:tcPr>
            <w:tcW w:w="9654" w:type="dxa"/>
            <w:gridSpan w:val="2"/>
            <w:tcBorders>
</w:tcBorders>
            <w:vMerge/>
            <w:shd w:val="clear" w:color="#000000" w:fill="#FFFFFF"/>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347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978-5-534-11583-3.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https://urait.ru/bcode/468582</w:t>
            </w:r>
            <w:r>
              <w:rPr/>
              <w:t xml:space="preserve"> </w:t>
            </w:r>
          </w:p>
        </w:tc>
      </w:tr>
      <w:tr>
        <w:trPr>
          <w:trHeight w:hRule="exact" w:val="826.14"/>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Социология</w:t>
            </w:r>
            <w:r>
              <w:rPr/>
              <w:t xml:space="preserve"> </w:t>
            </w:r>
            <w:r>
              <w:rPr>
                <w:rFonts w:ascii="Times New Roman" w:hAnsi="Times New Roman" w:cs="Times New Roman"/>
                <w:color w:val="#000000"/>
                <w:sz w:val="24"/>
                <w:szCs w:val="24"/>
              </w:rPr>
              <w:t>образования.</w:t>
            </w:r>
            <w:r>
              <w:rPr/>
              <w:t xml:space="preserve"> </w:t>
            </w:r>
            <w:r>
              <w:rPr>
                <w:rFonts w:ascii="Times New Roman" w:hAnsi="Times New Roman" w:cs="Times New Roman"/>
                <w:color w:val="#000000"/>
                <w:sz w:val="24"/>
                <w:szCs w:val="24"/>
              </w:rPr>
              <w:t>Дополнительное</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непрерывное</w:t>
            </w:r>
            <w:r>
              <w:rPr/>
              <w:t xml:space="preserve"> </w:t>
            </w:r>
            <w:r>
              <w:rPr>
                <w:rFonts w:ascii="Times New Roman" w:hAnsi="Times New Roman" w:cs="Times New Roman"/>
                <w:color w:val="#000000"/>
                <w:sz w:val="24"/>
                <w:szCs w:val="24"/>
              </w:rPr>
              <w:t>образование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Ключарев</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Диденко</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Латов</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Латова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333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978-5-534-09604-0.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https://urait.ru/bcode/473651</w:t>
            </w:r>
            <w:r>
              <w:rPr/>
              <w:t xml:space="preserve"> </w:t>
            </w:r>
          </w:p>
        </w:tc>
      </w:tr>
      <w:tr>
        <w:trPr>
          <w:trHeight w:hRule="exact" w:val="585.05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751.0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3629.72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185.6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5432.6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4619.4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2024-2025_ФГОС3++2024_Бак-ЗФО-СДО(Олигоф)(24)_plx_Экономические основы образования</dc:title>
  <dc:creator>FastReport.NET</dc:creator>
</cp:coreProperties>
</file>